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BEC" w:rsidRDefault="00DA6ABD">
      <w:r>
        <w:rPr>
          <w:noProof/>
        </w:rPr>
        <w:drawing>
          <wp:inline distT="0" distB="0" distL="0" distR="0">
            <wp:extent cx="5732780" cy="85712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780" cy="8571230"/>
                    </a:xfrm>
                    <a:prstGeom prst="rect">
                      <a:avLst/>
                    </a:prstGeom>
                    <a:noFill/>
                    <a:ln>
                      <a:noFill/>
                    </a:ln>
                  </pic:spPr>
                </pic:pic>
              </a:graphicData>
            </a:graphic>
          </wp:inline>
        </w:drawing>
      </w:r>
    </w:p>
    <w:p w:rsidR="00DA6ABD" w:rsidRDefault="00DA6ABD"/>
    <w:p w:rsidR="00DA6ABD" w:rsidRDefault="00DA6ABD"/>
    <w:p w:rsidR="00DA6ABD" w:rsidRDefault="00DA6ABD">
      <w:r>
        <w:rPr>
          <w:noProof/>
        </w:rPr>
        <w:lastRenderedPageBreak/>
        <w:drawing>
          <wp:inline distT="0" distB="0" distL="0" distR="0">
            <wp:extent cx="5732780" cy="85236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780" cy="8523605"/>
                    </a:xfrm>
                    <a:prstGeom prst="rect">
                      <a:avLst/>
                    </a:prstGeom>
                    <a:noFill/>
                    <a:ln>
                      <a:noFill/>
                    </a:ln>
                  </pic:spPr>
                </pic:pic>
              </a:graphicData>
            </a:graphic>
          </wp:inline>
        </w:drawing>
      </w:r>
    </w:p>
    <w:p w:rsidR="00DA6ABD" w:rsidRDefault="00DA6ABD"/>
    <w:p w:rsidR="00DA6ABD" w:rsidRDefault="00DA6ABD"/>
    <w:p w:rsidR="00DA6ABD" w:rsidRDefault="00DA6ABD">
      <w:r>
        <w:rPr>
          <w:noProof/>
        </w:rPr>
        <w:lastRenderedPageBreak/>
        <w:drawing>
          <wp:inline distT="0" distB="0" distL="0" distR="0">
            <wp:extent cx="5732780" cy="854773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780" cy="8547735"/>
                    </a:xfrm>
                    <a:prstGeom prst="rect">
                      <a:avLst/>
                    </a:prstGeom>
                    <a:noFill/>
                    <a:ln>
                      <a:noFill/>
                    </a:ln>
                  </pic:spPr>
                </pic:pic>
              </a:graphicData>
            </a:graphic>
          </wp:inline>
        </w:drawing>
      </w:r>
    </w:p>
    <w:p w:rsidR="00DA6ABD" w:rsidRDefault="00DA6ABD"/>
    <w:p w:rsidR="00DA6ABD" w:rsidRDefault="00DA6ABD"/>
    <w:p w:rsidR="00DA6ABD" w:rsidRPr="00DA6ABD" w:rsidRDefault="00DA6ABD" w:rsidP="00DA6ABD">
      <w:pPr>
        <w:spacing w:after="120"/>
        <w:jc w:val="center"/>
        <w:rPr>
          <w:rFonts w:eastAsia="Times New Roman" w:cs="Times New Roman"/>
          <w:b/>
          <w:bCs/>
          <w:sz w:val="20"/>
          <w:szCs w:val="20"/>
          <w:lang w:val="x-none" w:eastAsia="vi-VN"/>
        </w:rPr>
      </w:pPr>
      <w:r w:rsidRPr="00DA6ABD">
        <w:rPr>
          <w:rFonts w:eastAsia="Times New Roman" w:cs="Times New Roman"/>
          <w:b/>
          <w:bCs/>
          <w:sz w:val="20"/>
          <w:szCs w:val="20"/>
          <w:lang w:val="x-none" w:eastAsia="vi-VN"/>
        </w:rPr>
        <w:lastRenderedPageBreak/>
        <w:t>HƯỚNG DẪN KÊ KHAI</w:t>
      </w:r>
    </w:p>
    <w:p w:rsidR="00DA6ABD" w:rsidRPr="00DA6ABD" w:rsidRDefault="00DA6ABD" w:rsidP="00DA6ABD">
      <w:pPr>
        <w:spacing w:after="120"/>
        <w:jc w:val="center"/>
        <w:rPr>
          <w:rFonts w:eastAsia="Times New Roman" w:cs="Times New Roman"/>
          <w:sz w:val="20"/>
          <w:szCs w:val="20"/>
          <w:lang w:val="x-none" w:eastAsia="x-none"/>
        </w:rPr>
      </w:pPr>
    </w:p>
    <w:p w:rsidR="00DA6ABD" w:rsidRPr="00DA6ABD" w:rsidRDefault="00DA6ABD" w:rsidP="00DA6ABD">
      <w:pPr>
        <w:tabs>
          <w:tab w:val="left" w:pos="931"/>
        </w:tabs>
        <w:spacing w:after="120"/>
        <w:ind w:firstLine="720"/>
        <w:jc w:val="both"/>
        <w:rPr>
          <w:rFonts w:eastAsia="Times New Roman" w:cs="Times New Roman"/>
          <w:sz w:val="20"/>
          <w:szCs w:val="20"/>
          <w:lang w:val="x-none" w:eastAsia="x-none"/>
        </w:rPr>
      </w:pPr>
      <w:bookmarkStart w:id="0" w:name="bookmark219"/>
      <w:bookmarkEnd w:id="0"/>
      <w:r w:rsidRPr="00DA6ABD">
        <w:rPr>
          <w:rFonts w:eastAsia="Times New Roman" w:cs="Times New Roman"/>
          <w:b/>
          <w:bCs/>
          <w:sz w:val="20"/>
          <w:szCs w:val="20"/>
          <w:lang w:val="x-none" w:eastAsia="vi-VN"/>
        </w:rPr>
        <w:t>1. Hướng dẫn chung</w:t>
      </w:r>
    </w:p>
    <w:p w:rsidR="00DA6ABD" w:rsidRPr="00DA6ABD" w:rsidRDefault="00DA6ABD" w:rsidP="00DA6ABD">
      <w:pPr>
        <w:tabs>
          <w:tab w:val="left" w:pos="1097"/>
        </w:tabs>
        <w:spacing w:after="120"/>
        <w:ind w:firstLine="720"/>
        <w:jc w:val="both"/>
        <w:rPr>
          <w:rFonts w:eastAsia="Times New Roman" w:cs="Times New Roman"/>
          <w:sz w:val="20"/>
          <w:szCs w:val="20"/>
          <w:lang w:val="x-none" w:eastAsia="x-none"/>
        </w:rPr>
      </w:pPr>
      <w:bookmarkStart w:id="1" w:name="bookmark220"/>
      <w:bookmarkEnd w:id="1"/>
      <w:r w:rsidRPr="00DA6ABD">
        <w:rPr>
          <w:rFonts w:eastAsia="Times New Roman" w:cs="Times New Roman"/>
          <w:sz w:val="20"/>
          <w:szCs w:val="20"/>
          <w:lang w:val="x-none" w:eastAsia="vi-VN"/>
        </w:rPr>
        <w:t>1.1. Nội dung kê khai rõ ràng, không tẩy xóa.</w:t>
      </w:r>
    </w:p>
    <w:p w:rsidR="00DA6ABD" w:rsidRPr="00DA6ABD" w:rsidRDefault="00DA6ABD" w:rsidP="00DA6ABD">
      <w:pPr>
        <w:tabs>
          <w:tab w:val="left" w:pos="1100"/>
        </w:tabs>
        <w:spacing w:after="120"/>
        <w:ind w:firstLine="720"/>
        <w:jc w:val="both"/>
        <w:rPr>
          <w:rFonts w:eastAsia="Times New Roman" w:cs="Times New Roman"/>
          <w:sz w:val="20"/>
          <w:szCs w:val="20"/>
          <w:lang w:val="x-none" w:eastAsia="x-none"/>
        </w:rPr>
      </w:pPr>
      <w:bookmarkStart w:id="2" w:name="bookmark221"/>
      <w:bookmarkEnd w:id="2"/>
      <w:r w:rsidRPr="00DA6ABD">
        <w:rPr>
          <w:rFonts w:eastAsia="Times New Roman" w:cs="Times New Roman"/>
          <w:sz w:val="20"/>
          <w:szCs w:val="20"/>
          <w:lang w:val="x-none" w:eastAsia="vi-VN"/>
        </w:rPr>
        <w:t>1.2. Đối với phần kê khai mà có nhiều lựa chọn khác nhau thì đánh dấu (X) vào ô vuông tương ứng với nội dung lựa chọn</w:t>
      </w:r>
    </w:p>
    <w:p w:rsidR="00DA6ABD" w:rsidRPr="00DA6ABD" w:rsidRDefault="00DA6ABD" w:rsidP="00DA6ABD">
      <w:pPr>
        <w:tabs>
          <w:tab w:val="left" w:pos="946"/>
        </w:tabs>
        <w:spacing w:after="120"/>
        <w:ind w:firstLine="720"/>
        <w:jc w:val="both"/>
        <w:rPr>
          <w:rFonts w:eastAsia="Times New Roman" w:cs="Times New Roman"/>
          <w:sz w:val="20"/>
          <w:szCs w:val="20"/>
          <w:lang w:val="x-none" w:eastAsia="x-none"/>
        </w:rPr>
      </w:pPr>
      <w:bookmarkStart w:id="3" w:name="bookmark222"/>
      <w:bookmarkEnd w:id="3"/>
      <w:r w:rsidRPr="00DA6ABD">
        <w:rPr>
          <w:rFonts w:eastAsia="Times New Roman" w:cs="Times New Roman"/>
          <w:b/>
          <w:bCs/>
          <w:sz w:val="20"/>
          <w:szCs w:val="20"/>
          <w:lang w:val="x-none" w:eastAsia="vi-VN"/>
        </w:rPr>
        <w:t>2. Kê khai về bên thế chấp, bên nhận thế chấp:</w:t>
      </w:r>
    </w:p>
    <w:p w:rsidR="00DA6ABD" w:rsidRPr="00DA6ABD" w:rsidRDefault="00DA6ABD" w:rsidP="00DA6ABD">
      <w:pPr>
        <w:tabs>
          <w:tab w:val="left" w:pos="1100"/>
        </w:tabs>
        <w:spacing w:after="120"/>
        <w:ind w:firstLine="720"/>
        <w:jc w:val="both"/>
        <w:rPr>
          <w:rFonts w:eastAsia="Times New Roman" w:cs="Times New Roman"/>
          <w:sz w:val="20"/>
          <w:szCs w:val="20"/>
          <w:lang w:val="x-none" w:eastAsia="x-none"/>
        </w:rPr>
      </w:pPr>
      <w:bookmarkStart w:id="4" w:name="bookmark223"/>
      <w:bookmarkEnd w:id="4"/>
      <w:r w:rsidRPr="00DA6ABD">
        <w:rPr>
          <w:rFonts w:eastAsia="Times New Roman" w:cs="Times New Roman"/>
          <w:sz w:val="20"/>
          <w:szCs w:val="20"/>
          <w:lang w:val="x-none"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DA6ABD" w:rsidRPr="00DA6ABD" w:rsidRDefault="00DA6ABD" w:rsidP="00DA6ABD">
      <w:pPr>
        <w:tabs>
          <w:tab w:val="left" w:pos="1093"/>
        </w:tabs>
        <w:spacing w:after="120"/>
        <w:ind w:firstLine="720"/>
        <w:jc w:val="both"/>
        <w:rPr>
          <w:rFonts w:eastAsia="Times New Roman" w:cs="Times New Roman"/>
          <w:sz w:val="20"/>
          <w:szCs w:val="20"/>
          <w:lang w:val="x-none" w:eastAsia="x-none"/>
        </w:rPr>
      </w:pPr>
      <w:bookmarkStart w:id="5" w:name="bookmark224"/>
      <w:bookmarkEnd w:id="5"/>
      <w:r w:rsidRPr="00DA6ABD">
        <w:rPr>
          <w:rFonts w:eastAsia="Times New Roman" w:cs="Times New Roman"/>
          <w:sz w:val="20"/>
          <w:szCs w:val="20"/>
          <w:lang w:val="x-none" w:eastAsia="vi-VN"/>
        </w:rPr>
        <w:t>2.2. Khi cần kê khai thêm về bên thế chấp, bên nhận thế chấp mà không còn chỗ ghi tại Mẫu số 01/ĐKTC thì ghi tiếp vào Mẫu số 06/BSCB.</w:t>
      </w:r>
    </w:p>
    <w:p w:rsidR="00DA6ABD" w:rsidRPr="00DA6ABD" w:rsidRDefault="00DA6ABD" w:rsidP="00DA6ABD">
      <w:pPr>
        <w:tabs>
          <w:tab w:val="left" w:pos="946"/>
        </w:tabs>
        <w:spacing w:after="120"/>
        <w:ind w:firstLine="720"/>
        <w:jc w:val="both"/>
        <w:rPr>
          <w:rFonts w:eastAsia="Times New Roman" w:cs="Times New Roman"/>
          <w:sz w:val="20"/>
          <w:szCs w:val="20"/>
          <w:lang w:val="x-none" w:eastAsia="x-none"/>
        </w:rPr>
      </w:pPr>
      <w:bookmarkStart w:id="6" w:name="bookmark225"/>
      <w:bookmarkEnd w:id="6"/>
      <w:r w:rsidRPr="00DA6ABD">
        <w:rPr>
          <w:rFonts w:eastAsia="Times New Roman" w:cs="Times New Roman"/>
          <w:b/>
          <w:bCs/>
          <w:sz w:val="20"/>
          <w:szCs w:val="20"/>
          <w:lang w:val="x-none" w:eastAsia="vi-VN"/>
        </w:rPr>
        <w:t>3. Mô tả về tài sản thế chấp:</w:t>
      </w:r>
    </w:p>
    <w:p w:rsidR="00DA6ABD" w:rsidRPr="00DA6ABD" w:rsidRDefault="00DA6ABD" w:rsidP="00DA6ABD">
      <w:pPr>
        <w:tabs>
          <w:tab w:val="left" w:pos="1093"/>
        </w:tabs>
        <w:spacing w:after="120"/>
        <w:ind w:firstLine="720"/>
        <w:jc w:val="both"/>
        <w:rPr>
          <w:rFonts w:eastAsia="Times New Roman" w:cs="Times New Roman"/>
          <w:sz w:val="20"/>
          <w:szCs w:val="20"/>
          <w:lang w:val="x-none" w:eastAsia="x-none"/>
        </w:rPr>
      </w:pPr>
      <w:bookmarkStart w:id="7" w:name="bookmark226"/>
      <w:bookmarkEnd w:id="7"/>
      <w:r w:rsidRPr="00DA6ABD">
        <w:rPr>
          <w:rFonts w:eastAsia="Times New Roman" w:cs="Times New Roman"/>
          <w:sz w:val="20"/>
          <w:szCs w:val="20"/>
          <w:lang w:val="x-none" w:eastAsia="vi-VN"/>
        </w:rPr>
        <w:t>3.1. Trường hợp tài sản thế chấp không bao gồm quyền sử dụng đất thì không kê khai nội dung về quyền sử dụng đất tại điểm 3.1.</w:t>
      </w:r>
    </w:p>
    <w:p w:rsidR="00DA6ABD" w:rsidRPr="00DA6ABD" w:rsidRDefault="00DA6ABD" w:rsidP="00DA6ABD">
      <w:pPr>
        <w:tabs>
          <w:tab w:val="left" w:pos="1111"/>
        </w:tabs>
        <w:spacing w:after="120"/>
        <w:ind w:firstLine="720"/>
        <w:jc w:val="both"/>
        <w:rPr>
          <w:rFonts w:eastAsia="Times New Roman" w:cs="Times New Roman"/>
          <w:sz w:val="20"/>
          <w:szCs w:val="20"/>
          <w:lang w:val="x-none" w:eastAsia="x-none"/>
        </w:rPr>
      </w:pPr>
      <w:bookmarkStart w:id="8" w:name="bookmark227"/>
      <w:bookmarkEnd w:id="8"/>
      <w:r w:rsidRPr="00DA6ABD">
        <w:rPr>
          <w:rFonts w:eastAsia="Times New Roman" w:cs="Times New Roman"/>
          <w:sz w:val="20"/>
          <w:szCs w:val="20"/>
          <w:lang w:val="x-none" w:eastAsia="vi-VN"/>
        </w:rPr>
        <w:t>3.2. Tại điểm 3.2.3: Kê khai như sau:</w:t>
      </w:r>
    </w:p>
    <w:p w:rsidR="00DA6ABD" w:rsidRPr="00DA6ABD" w:rsidRDefault="00DA6ABD" w:rsidP="00DA6ABD">
      <w:pPr>
        <w:tabs>
          <w:tab w:val="left" w:pos="920"/>
        </w:tabs>
        <w:spacing w:after="120"/>
        <w:ind w:firstLine="720"/>
        <w:jc w:val="both"/>
        <w:rPr>
          <w:rFonts w:eastAsia="Times New Roman" w:cs="Times New Roman"/>
          <w:sz w:val="20"/>
          <w:szCs w:val="20"/>
          <w:lang w:val="x-none" w:eastAsia="x-none"/>
        </w:rPr>
      </w:pPr>
      <w:bookmarkStart w:id="9" w:name="bookmark228"/>
      <w:bookmarkEnd w:id="9"/>
      <w:r w:rsidRPr="00DA6ABD">
        <w:rPr>
          <w:rFonts w:eastAsia="Times New Roman" w:cs="Times New Roman"/>
          <w:sz w:val="20"/>
          <w:szCs w:val="20"/>
          <w:lang w:val="x-none" w:eastAsia="vi-VN"/>
        </w:rPr>
        <w:t>a) Nếu tài sản thế chấp là nhà thì phải kê khai loại nhà (nhà ở, nhà xưởng, nhà kho, ...), số tầng, diện tích xây dựng (diện tích chiếm đất), diện tích sử dụng, địa chỉ nhà đó.</w:t>
      </w:r>
    </w:p>
    <w:p w:rsidR="00DA6ABD" w:rsidRPr="00DA6ABD" w:rsidRDefault="00DA6ABD" w:rsidP="00DA6ABD">
      <w:pPr>
        <w:tabs>
          <w:tab w:val="left" w:pos="942"/>
        </w:tabs>
        <w:spacing w:after="120"/>
        <w:ind w:firstLine="720"/>
        <w:jc w:val="both"/>
        <w:rPr>
          <w:rFonts w:eastAsia="Times New Roman" w:cs="Times New Roman"/>
          <w:sz w:val="20"/>
          <w:szCs w:val="20"/>
          <w:lang w:val="x-none" w:eastAsia="x-none"/>
        </w:rPr>
      </w:pPr>
      <w:bookmarkStart w:id="10" w:name="bookmark229"/>
      <w:bookmarkEnd w:id="10"/>
      <w:r w:rsidRPr="00DA6ABD">
        <w:rPr>
          <w:rFonts w:eastAsia="Times New Roman" w:cs="Times New Roman"/>
          <w:sz w:val="20"/>
          <w:szCs w:val="20"/>
          <w:lang w:val="x-none" w:eastAsia="vi-VN"/>
        </w:rPr>
        <w:t>b) Trường hợp tài sản thế chấp là nhà chung cư thì ghi tên của nhà chung cư, số tầng, diện tích xây dựng (diện tích chiếm đất), tổng số căn hộ, địa chỉ nhà chung cư đó.</w:t>
      </w:r>
    </w:p>
    <w:p w:rsidR="00DA6ABD" w:rsidRPr="00DA6ABD" w:rsidRDefault="00DA6ABD" w:rsidP="00DA6ABD">
      <w:pPr>
        <w:tabs>
          <w:tab w:val="left" w:pos="942"/>
        </w:tabs>
        <w:spacing w:after="120"/>
        <w:ind w:firstLine="720"/>
        <w:jc w:val="both"/>
        <w:rPr>
          <w:rFonts w:eastAsia="Times New Roman" w:cs="Times New Roman"/>
          <w:sz w:val="20"/>
          <w:szCs w:val="20"/>
          <w:lang w:val="x-none" w:eastAsia="x-none"/>
        </w:rPr>
      </w:pPr>
      <w:bookmarkStart w:id="11" w:name="bookmark230"/>
      <w:bookmarkEnd w:id="11"/>
      <w:r w:rsidRPr="00DA6ABD">
        <w:rPr>
          <w:rFonts w:eastAsia="Times New Roman" w:cs="Times New Roman"/>
          <w:sz w:val="20"/>
          <w:szCs w:val="20"/>
          <w:lang w:val="x-none" w:eastAsia="vi-VN"/>
        </w:rPr>
        <w:t>c) Trường hợp tài sản thế chấp là căn hộ trong nhà chung cư thì ghi "căn hộ chung cư" và ghi số của căn hộ, tầng số, diện tích sử dụng của căn hộ, địa chỉ nhà chung cư đó.</w:t>
      </w:r>
    </w:p>
    <w:p w:rsidR="00DA6ABD" w:rsidRPr="00DA6ABD" w:rsidRDefault="00DA6ABD" w:rsidP="00DA6ABD">
      <w:pPr>
        <w:tabs>
          <w:tab w:val="left" w:pos="956"/>
        </w:tabs>
        <w:spacing w:after="120"/>
        <w:ind w:firstLine="720"/>
        <w:jc w:val="both"/>
        <w:rPr>
          <w:rFonts w:eastAsia="Times New Roman" w:cs="Times New Roman"/>
          <w:sz w:val="20"/>
          <w:szCs w:val="20"/>
          <w:lang w:val="x-none" w:eastAsia="x-none"/>
        </w:rPr>
      </w:pPr>
      <w:bookmarkStart w:id="12" w:name="bookmark231"/>
      <w:bookmarkEnd w:id="12"/>
      <w:r w:rsidRPr="00DA6ABD">
        <w:rPr>
          <w:rFonts w:eastAsia="Times New Roman" w:cs="Times New Roman"/>
          <w:sz w:val="20"/>
          <w:szCs w:val="20"/>
          <w:lang w:val="x-none"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DA6ABD" w:rsidRPr="00DA6ABD" w:rsidRDefault="00DA6ABD" w:rsidP="00DA6ABD">
      <w:pPr>
        <w:spacing w:after="120"/>
        <w:ind w:firstLine="720"/>
        <w:jc w:val="both"/>
        <w:rPr>
          <w:rFonts w:eastAsia="Times New Roman" w:cs="Times New Roman"/>
          <w:sz w:val="20"/>
          <w:szCs w:val="20"/>
          <w:lang w:val="x-none" w:eastAsia="x-none"/>
        </w:rPr>
      </w:pPr>
      <w:r w:rsidRPr="00DA6ABD">
        <w:rPr>
          <w:rFonts w:eastAsia="Times New Roman" w:cs="Times New Roman"/>
          <w:sz w:val="20"/>
          <w:szCs w:val="20"/>
          <w:lang w:val="x-none" w:eastAsia="vi-VN"/>
        </w:rPr>
        <w:t>đ) Trường hợp tài sản thế chấp là cây rừng, cây lâu năm thì ghi loại cây rừng, loại cây lâu năm, diện tích, địa chỉ nơi có cây rừng, cây lâu năm.</w:t>
      </w:r>
    </w:p>
    <w:p w:rsidR="00DA6ABD" w:rsidRPr="00DA6ABD" w:rsidRDefault="00DA6ABD" w:rsidP="00DA6ABD">
      <w:pPr>
        <w:tabs>
          <w:tab w:val="left" w:pos="1064"/>
        </w:tabs>
        <w:spacing w:after="120"/>
        <w:ind w:firstLine="720"/>
        <w:jc w:val="both"/>
        <w:rPr>
          <w:rFonts w:eastAsia="Times New Roman" w:cs="Times New Roman"/>
          <w:sz w:val="20"/>
          <w:szCs w:val="20"/>
          <w:lang w:val="x-none" w:eastAsia="x-none"/>
        </w:rPr>
      </w:pPr>
      <w:bookmarkStart w:id="13" w:name="bookmark232"/>
      <w:bookmarkEnd w:id="13"/>
      <w:r w:rsidRPr="00DA6ABD">
        <w:rPr>
          <w:rFonts w:eastAsia="Times New Roman" w:cs="Times New Roman"/>
          <w:sz w:val="20"/>
          <w:szCs w:val="20"/>
          <w:highlight w:val="white"/>
          <w:lang w:val="x-none"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w:t>
      </w:r>
      <w:bookmarkStart w:id="14" w:name="bookmark233"/>
      <w:r w:rsidRPr="00DA6ABD">
        <w:rPr>
          <w:rFonts w:eastAsia="Times New Roman" w:cs="Times New Roman"/>
          <w:sz w:val="20"/>
          <w:szCs w:val="20"/>
          <w:lang w:val="x-none" w:eastAsia="vi-VN"/>
        </w:rPr>
        <w:t xml:space="preserve"> 3</w:t>
      </w:r>
      <w:bookmarkEnd w:id="14"/>
      <w:r w:rsidRPr="00DA6ABD">
        <w:rPr>
          <w:rFonts w:eastAsia="Times New Roman" w:cs="Times New Roman"/>
          <w:sz w:val="20"/>
          <w:szCs w:val="20"/>
          <w:lang w:val="x-none" w:eastAsia="vi-VN"/>
        </w:rPr>
        <w:t>.4.2.</w:t>
      </w:r>
    </w:p>
    <w:p w:rsidR="00DA6ABD" w:rsidRPr="00DA6ABD" w:rsidRDefault="00DA6ABD" w:rsidP="00DA6ABD">
      <w:pPr>
        <w:tabs>
          <w:tab w:val="left" w:pos="1100"/>
        </w:tabs>
        <w:spacing w:after="120"/>
        <w:ind w:firstLine="720"/>
        <w:jc w:val="both"/>
        <w:rPr>
          <w:rFonts w:eastAsia="Times New Roman" w:cs="Times New Roman"/>
          <w:sz w:val="20"/>
          <w:szCs w:val="20"/>
          <w:lang w:val="x-none" w:eastAsia="x-none"/>
        </w:rPr>
      </w:pPr>
      <w:bookmarkStart w:id="15" w:name="bookmark234"/>
      <w:bookmarkEnd w:id="15"/>
      <w:r w:rsidRPr="00DA6ABD">
        <w:rPr>
          <w:rFonts w:eastAsia="Times New Roman" w:cs="Times New Roman"/>
          <w:sz w:val="20"/>
          <w:szCs w:val="20"/>
          <w:lang w:val="x-none" w:eastAsia="vi-VN"/>
        </w:rPr>
        <w:t>3.4. Khi cần kê khai thêm về tài sản thế chấp mà không còn chỗ ghi tại Mẫu số 01/ĐKTC thì ghi tiếp vào Mẫu số 07/BSTS.</w:t>
      </w:r>
    </w:p>
    <w:p w:rsidR="00DA6ABD" w:rsidRPr="00DA6ABD" w:rsidRDefault="00DA6ABD" w:rsidP="00DA6ABD">
      <w:pPr>
        <w:tabs>
          <w:tab w:val="left" w:pos="946"/>
        </w:tabs>
        <w:spacing w:after="120"/>
        <w:ind w:firstLine="720"/>
        <w:jc w:val="both"/>
        <w:rPr>
          <w:rFonts w:eastAsia="Times New Roman" w:cs="Times New Roman"/>
          <w:sz w:val="20"/>
          <w:szCs w:val="20"/>
          <w:lang w:val="x-none" w:eastAsia="x-none"/>
        </w:rPr>
      </w:pPr>
      <w:bookmarkStart w:id="16" w:name="bookmark235"/>
      <w:bookmarkEnd w:id="16"/>
      <w:r w:rsidRPr="00DA6ABD">
        <w:rPr>
          <w:rFonts w:eastAsia="Times New Roman" w:cs="Times New Roman"/>
          <w:b/>
          <w:bCs/>
          <w:sz w:val="20"/>
          <w:szCs w:val="20"/>
          <w:lang w:val="x-none" w:eastAsia="vi-VN"/>
        </w:rPr>
        <w:t>4. Mục bên thế chấp, bên nhận thế chấp ký tên:</w:t>
      </w:r>
    </w:p>
    <w:p w:rsidR="00DA6ABD" w:rsidRPr="00DA6ABD" w:rsidRDefault="00DA6ABD" w:rsidP="00DA6ABD">
      <w:pPr>
        <w:tabs>
          <w:tab w:val="left" w:pos="1093"/>
        </w:tabs>
        <w:spacing w:after="120"/>
        <w:ind w:firstLine="720"/>
        <w:jc w:val="both"/>
        <w:rPr>
          <w:rFonts w:eastAsia="Times New Roman" w:cs="Times New Roman"/>
          <w:sz w:val="20"/>
          <w:szCs w:val="20"/>
          <w:lang w:val="x-none" w:eastAsia="vi-VN"/>
        </w:rPr>
      </w:pPr>
      <w:bookmarkStart w:id="17" w:name="bookmark236"/>
      <w:bookmarkEnd w:id="17"/>
      <w:r w:rsidRPr="00DA6ABD">
        <w:rPr>
          <w:rFonts w:eastAsia="Times New Roman" w:cs="Times New Roman"/>
          <w:sz w:val="20"/>
          <w:szCs w:val="20"/>
          <w:lang w:val="x-none" w:eastAsia="vi-VN"/>
        </w:rPr>
        <w:t>4.1. Trường hợp người đại diện của bên thế chấp, bên nhận thế chấp là cá nhân thì ký, ghi rõ họ tên của người đại diện;</w:t>
      </w:r>
    </w:p>
    <w:p w:rsidR="00DA6ABD" w:rsidRPr="00DA6ABD" w:rsidRDefault="00DA6ABD" w:rsidP="00DA6ABD">
      <w:pPr>
        <w:tabs>
          <w:tab w:val="left" w:pos="1093"/>
        </w:tabs>
        <w:spacing w:after="120"/>
        <w:ind w:firstLine="720"/>
        <w:jc w:val="both"/>
        <w:rPr>
          <w:rFonts w:eastAsia="Times New Roman" w:cs="Times New Roman"/>
          <w:sz w:val="20"/>
          <w:szCs w:val="20"/>
          <w:lang w:val="x-none" w:eastAsia="x-none"/>
        </w:rPr>
      </w:pPr>
      <w:r w:rsidRPr="00DA6ABD">
        <w:rPr>
          <w:rFonts w:eastAsia="Times New Roman" w:cs="Times New Roman"/>
          <w:sz w:val="20"/>
          <w:szCs w:val="20"/>
          <w:lang w:val="x-none" w:eastAsia="vi-VN"/>
        </w:rPr>
        <w:t xml:space="preserve">Trường hợp người đại </w:t>
      </w:r>
      <w:r w:rsidRPr="00DA6ABD">
        <w:rPr>
          <w:rFonts w:eastAsia="Times New Roman" w:cs="Times New Roman"/>
          <w:sz w:val="20"/>
          <w:szCs w:val="20"/>
          <w:lang w:eastAsia="vi-VN"/>
        </w:rPr>
        <w:t>d</w:t>
      </w:r>
      <w:r w:rsidRPr="00DA6ABD">
        <w:rPr>
          <w:rFonts w:eastAsia="Times New Roman" w:cs="Times New Roman"/>
          <w:sz w:val="20"/>
          <w:szCs w:val="20"/>
          <w:lang w:val="x-none" w:eastAsia="vi-VN"/>
        </w:rPr>
        <w:t xml:space="preserve">iện của bên thế chấp, bên nhận thế chấp là pháp nhân thì ký, ghi rõ họ tên, chức vụ của người đại diện hợp pháp của pháp nhân và đóng dấu của pháp nhân là đại </w:t>
      </w:r>
      <w:r w:rsidRPr="00DA6ABD">
        <w:rPr>
          <w:rFonts w:eastAsia="Times New Roman" w:cs="Times New Roman"/>
          <w:sz w:val="20"/>
          <w:szCs w:val="20"/>
          <w:lang w:eastAsia="vi-VN"/>
        </w:rPr>
        <w:t>d</w:t>
      </w:r>
      <w:r w:rsidRPr="00DA6ABD">
        <w:rPr>
          <w:rFonts w:eastAsia="Times New Roman" w:cs="Times New Roman"/>
          <w:sz w:val="20"/>
          <w:szCs w:val="20"/>
          <w:lang w:val="x-none" w:eastAsia="vi-VN"/>
        </w:rPr>
        <w:t>iện.</w:t>
      </w:r>
    </w:p>
    <w:p w:rsidR="00DA6ABD" w:rsidRPr="00DA6ABD" w:rsidRDefault="00DA6ABD" w:rsidP="00DA6ABD">
      <w:pPr>
        <w:tabs>
          <w:tab w:val="left" w:pos="1100"/>
        </w:tabs>
        <w:spacing w:after="120"/>
        <w:ind w:firstLine="720"/>
        <w:jc w:val="both"/>
        <w:rPr>
          <w:rFonts w:eastAsia="Times New Roman" w:cs="Times New Roman"/>
          <w:sz w:val="20"/>
          <w:szCs w:val="20"/>
          <w:lang w:val="x-none" w:eastAsia="vi-VN"/>
        </w:rPr>
      </w:pPr>
      <w:bookmarkStart w:id="18" w:name="bookmark237"/>
      <w:bookmarkEnd w:id="18"/>
      <w:r w:rsidRPr="00DA6ABD">
        <w:rPr>
          <w:rFonts w:eastAsia="Times New Roman" w:cs="Times New Roman"/>
          <w:sz w:val="20"/>
          <w:szCs w:val="20"/>
          <w:lang w:val="x-none"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bookmarkStart w:id="19" w:name="bookmark238"/>
      <w:bookmarkEnd w:id="19"/>
    </w:p>
    <w:p w:rsidR="00DA6ABD" w:rsidRPr="00DA6ABD" w:rsidRDefault="00DA6ABD" w:rsidP="00DA6ABD">
      <w:pPr>
        <w:tabs>
          <w:tab w:val="left" w:pos="1100"/>
        </w:tabs>
        <w:spacing w:after="120"/>
        <w:ind w:firstLine="720"/>
        <w:jc w:val="both"/>
        <w:rPr>
          <w:rFonts w:eastAsia="Times New Roman" w:cs="Times New Roman"/>
          <w:b/>
          <w:sz w:val="20"/>
          <w:szCs w:val="20"/>
          <w:lang w:val="x-none" w:eastAsia="vi-VN"/>
        </w:rPr>
      </w:pPr>
    </w:p>
    <w:p w:rsidR="00DA6ABD" w:rsidRDefault="00DA6ABD" w:rsidP="00DA6ABD">
      <w:r w:rsidRPr="00DA6ABD">
        <w:rPr>
          <w:rFonts w:eastAsia="Times New Roman" w:cs="Times New Roman"/>
          <w:b/>
          <w:color w:val="000000"/>
          <w:sz w:val="20"/>
          <w:szCs w:val="20"/>
          <w:lang w:val="vi-VN" w:eastAsia="vi-VN"/>
        </w:rPr>
        <w:br w:type="page"/>
      </w:r>
      <w:bookmarkStart w:id="20" w:name="_GoBack"/>
      <w:bookmarkEnd w:id="20"/>
    </w:p>
    <w:sectPr w:rsidR="00DA6ABD" w:rsidSect="003C4732">
      <w:pgSz w:w="11907" w:h="16840" w:code="9"/>
      <w:pgMar w:top="1418" w:right="851" w:bottom="1134" w:left="1985"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BD"/>
    <w:rsid w:val="000848ED"/>
    <w:rsid w:val="000B1FFC"/>
    <w:rsid w:val="00204668"/>
    <w:rsid w:val="003C4732"/>
    <w:rsid w:val="006F5BEC"/>
    <w:rsid w:val="008E20BE"/>
    <w:rsid w:val="00DA6ABD"/>
    <w:rsid w:val="00DC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6ABD"/>
    <w:rPr>
      <w:rFonts w:ascii="Tahoma" w:hAnsi="Tahoma" w:cs="Tahoma"/>
      <w:sz w:val="16"/>
      <w:szCs w:val="16"/>
    </w:rPr>
  </w:style>
  <w:style w:type="character" w:customStyle="1" w:styleId="BalloonTextChar">
    <w:name w:val="Balloon Text Char"/>
    <w:basedOn w:val="DefaultParagraphFont"/>
    <w:link w:val="BalloonText"/>
    <w:uiPriority w:val="99"/>
    <w:semiHidden/>
    <w:rsid w:val="00DA6A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6ABD"/>
    <w:rPr>
      <w:rFonts w:ascii="Tahoma" w:hAnsi="Tahoma" w:cs="Tahoma"/>
      <w:sz w:val="16"/>
      <w:szCs w:val="16"/>
    </w:rPr>
  </w:style>
  <w:style w:type="character" w:customStyle="1" w:styleId="BalloonTextChar">
    <w:name w:val="Balloon Text Char"/>
    <w:basedOn w:val="DefaultParagraphFont"/>
    <w:link w:val="BalloonText"/>
    <w:uiPriority w:val="99"/>
    <w:semiHidden/>
    <w:rsid w:val="00DA6A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500</Words>
  <Characters>2853</Characters>
  <Application>Microsoft Office Word</Application>
  <DocSecurity>0</DocSecurity>
  <Lines>23</Lines>
  <Paragraphs>6</Paragraphs>
  <ScaleCrop>false</ScaleCrop>
  <Company/>
  <LinksUpToDate>false</LinksUpToDate>
  <CharactersWithSpaces>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AdminOS</dc:creator>
  <cp:lastModifiedBy>AdminOS</cp:lastModifiedBy>
  <cp:revision>1</cp:revision>
  <dcterms:created xsi:type="dcterms:W3CDTF">2021-01-08T07:42:00Z</dcterms:created>
  <dcterms:modified xsi:type="dcterms:W3CDTF">2021-01-08T07:43:00Z</dcterms:modified>
</cp:coreProperties>
</file>